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求真书院《代数拓扑I》修读概要</w:t>
      </w:r>
    </w:p>
    <w:p>
      <w:pPr>
        <w:ind w:firstLine="1205" w:firstLineChars="500"/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先修课程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拓扑学、代数I-II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建议修读时间： 第三学年上学期或第四学年上学期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后续修读课程： 代数拓扑II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参考文献：（1）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Allen Hatcher: Algebraic Topology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566" w:leftChars="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Style w:val="12"/>
        </w:rPr>
        <w:t>姜伯驹</w:t>
      </w:r>
      <w:r>
        <w:rPr>
          <w:rStyle w:val="12"/>
          <w:rFonts w:hint="eastAsia" w:eastAsia="宋体"/>
          <w:lang w:val="en-US" w:eastAsia="zh-CN"/>
        </w:rPr>
        <w:t xml:space="preserve">: </w:t>
      </w:r>
      <w:r>
        <w:rPr>
          <w:rStyle w:val="12"/>
        </w:rPr>
        <w:t>同调论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566" w:leftChars="0" w:firstLine="0" w:firstLineChars="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ascii="宋体" w:hAnsi="宋体" w:eastAsia="宋体" w:cs="宋体"/>
          <w:b w:val="0"/>
          <w:bCs w:val="0"/>
          <w:i w:val="0"/>
          <w:iCs w:val="0"/>
          <w:color w:val="000000"/>
          <w:sz w:val="22"/>
          <w:szCs w:val="22"/>
        </w:rPr>
        <w:t>Edwin Spanier: Algebraic Topology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               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课程基本内容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第一章：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单纯和奇异同调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范畴，函子，自然变换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∆</m:t>
        </m:r>
      </m:oMath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-复形和单纯同调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 奇异同调的定义与同伦不变性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第二章：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同调的性质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1.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相对同调群长正和列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切除定理及应用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3.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Mayer-Vietoris序列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4. Eilenberg-Steenrod公理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5. 胞腔复形的同调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6. 欧拉数与Lefschetz数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上同调理论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空间的上同调群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上同调群的上积与叉积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上同调环的定义和计算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Ext与Tor函子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万有系数定理和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Kunneth公式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第四章：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Poincare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对偶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局部系数与流形的定向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定向定理的证明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Poincare对偶定理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Alexander对偶定理和Lefschetz对偶定理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子流形的相交配对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第五章：同伦论基础</w:t>
      </w:r>
    </w:p>
    <w:p>
      <w:pPr>
        <w:numPr>
          <w:ilvl w:val="0"/>
          <w:numId w:val="6"/>
        </w:num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空间的同伦群</w:t>
      </w:r>
    </w:p>
    <w:p>
      <w:pPr>
        <w:numPr>
          <w:ilvl w:val="0"/>
          <w:numId w:val="6"/>
        </w:num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纤维丛的同伦长正和列</w:t>
      </w:r>
    </w:p>
    <w:p>
      <w:pPr>
        <w:numPr>
          <w:ilvl w:val="0"/>
          <w:numId w:val="6"/>
        </w:num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Eilenberg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ascii="宋体" w:hAnsi="宋体" w:eastAsia="宋体" w:cs="宋体"/>
          <w:sz w:val="24"/>
          <w:szCs w:val="24"/>
        </w:rPr>
        <w:t>Ma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</w:t>
      </w:r>
      <w:r>
        <w:rPr>
          <w:rFonts w:ascii="宋体" w:hAnsi="宋体" w:eastAsia="宋体" w:cs="宋体"/>
          <w:sz w:val="24"/>
          <w:szCs w:val="24"/>
        </w:rPr>
        <w:t>Lane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空间</w:t>
      </w:r>
    </w:p>
    <w:p>
      <w:pPr>
        <w:numPr>
          <w:ilvl w:val="0"/>
          <w:numId w:val="6"/>
        </w:num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Hurewicz定理与Whitehead定理</w:t>
      </w:r>
    </w:p>
    <w:p>
      <w:pPr>
        <w:numPr>
          <w:ilvl w:val="0"/>
          <w:numId w:val="6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上同调函子的可表性</w:t>
      </w:r>
    </w:p>
    <w:sectPr>
      <w:headerReference r:id="rId3" w:type="default"/>
      <w:pgSz w:w="11906" w:h="16838"/>
      <w:pgMar w:top="1440" w:right="1800" w:bottom="1440" w:left="1800" w:header="79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46FCAA"/>
    <w:multiLevelType w:val="singleLevel"/>
    <w:tmpl w:val="D346FCA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6A9D88C"/>
    <w:multiLevelType w:val="singleLevel"/>
    <w:tmpl w:val="F6A9D88C"/>
    <w:lvl w:ilvl="0" w:tentative="0">
      <w:start w:val="1"/>
      <w:numFmt w:val="decimal"/>
      <w:suff w:val="space"/>
      <w:lvlText w:val="%1."/>
      <w:lvlJc w:val="left"/>
      <w:pPr>
        <w:ind w:left="480" w:leftChars="0" w:firstLine="0" w:firstLineChars="0"/>
      </w:pPr>
    </w:lvl>
  </w:abstractNum>
  <w:abstractNum w:abstractNumId="2">
    <w:nsid w:val="18041E1E"/>
    <w:multiLevelType w:val="singleLevel"/>
    <w:tmpl w:val="18041E1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3D95EE9"/>
    <w:multiLevelType w:val="singleLevel"/>
    <w:tmpl w:val="33D95EE9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36434FC1"/>
    <w:multiLevelType w:val="singleLevel"/>
    <w:tmpl w:val="36434FC1"/>
    <w:lvl w:ilvl="0" w:tentative="0">
      <w:start w:val="2"/>
      <w:numFmt w:val="decimal"/>
      <w:suff w:val="space"/>
      <w:lvlText w:val="（%1）"/>
      <w:lvlJc w:val="left"/>
    </w:lvl>
  </w:abstractNum>
  <w:abstractNum w:abstractNumId="5">
    <w:nsid w:val="67140B3F"/>
    <w:multiLevelType w:val="singleLevel"/>
    <w:tmpl w:val="67140B3F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66BD5-A936-405D-8CBC-2B0A6E3CB11A}">
  <ds:schemaRefs/>
</ds:datastoreItem>
</file>